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3345AF37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2025년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C44CC4">
        <w:rPr>
          <w:rFonts w:ascii="HY견고딕" w:eastAsia="HY견고딕"/>
          <w:kern w:val="0"/>
          <w:sz w:val="22"/>
          <w:szCs w:val="20"/>
        </w:rPr>
        <w:t>10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C44CC4">
        <w:rPr>
          <w:rFonts w:ascii="HY견고딕" w:eastAsia="HY견고딕"/>
          <w:kern w:val="0"/>
          <w:sz w:val="22"/>
          <w:szCs w:val="20"/>
        </w:rPr>
        <w:t>29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5526AE9F" w:rsidR="00C75D7E" w:rsidRPr="006B4CE0" w:rsidRDefault="00DB04E5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6B4CE0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 xml:space="preserve">SK하이닉스, </w:t>
      </w:r>
      <w:r w:rsidR="00A56D71" w:rsidRPr="00A56D71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2025년</w:t>
      </w:r>
      <w:r w:rsidR="00311ACF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 xml:space="preserve"> </w:t>
      </w:r>
      <w:r w:rsidR="00C44CC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3</w:t>
      </w:r>
      <w:r w:rsidR="00A56D71" w:rsidRPr="00A56D71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분기 경영실적</w:t>
      </w:r>
      <w:r w:rsidR="00A56D71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 xml:space="preserve"> </w:t>
      </w:r>
      <w:r w:rsidR="00905F47" w:rsidRPr="006B4CE0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발표</w:t>
      </w:r>
    </w:p>
    <w:p w14:paraId="03DA3CFC" w14:textId="6A3C75F4" w:rsidR="00311ACF" w:rsidRDefault="00311ACF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311ACF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매출 </w:t>
      </w:r>
      <w:r w:rsidR="00C44CC4"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24조 4,489억 원, 영업이익 11조 3,834억 원, 순이익 12조 5,975억 원</w:t>
      </w:r>
    </w:p>
    <w:p w14:paraId="4105F9AE" w14:textId="5367FC58" w:rsidR="00311ACF" w:rsidRDefault="00C44CC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HBM과 고성능 서버용 제품 판매 늘며 역대 최대 분기 실적 달성</w:t>
      </w:r>
    </w:p>
    <w:p w14:paraId="2E82BE89" w14:textId="32D1805B" w:rsidR="000B528C" w:rsidRDefault="00C44CC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내년 HBM 공급 협의 완료하고 4분기부터 HBM4 공급 </w:t>
      </w:r>
      <w:proofErr w:type="gramStart"/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시작…</w:t>
      </w:r>
      <w:proofErr w:type="gramEnd"/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HBM 등 D램, </w:t>
      </w:r>
      <w:proofErr w:type="spellStart"/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낸드</w:t>
      </w:r>
      <w:proofErr w:type="spellEnd"/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전 제품 내년까지 고객 수요 확보</w:t>
      </w:r>
    </w:p>
    <w:p w14:paraId="2A35E932" w14:textId="205F030E" w:rsidR="00C44CC4" w:rsidRDefault="00C44CC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“최고 성능 제품으로 고객 수요 적극 대응해 AI 메모리 시장 선도”</w:t>
      </w:r>
    </w:p>
    <w:p w14:paraId="53E20541" w14:textId="77777777" w:rsidR="00311ACF" w:rsidRPr="00311ACF" w:rsidRDefault="00311ACF" w:rsidP="00311ACF">
      <w:p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p w14:paraId="69C08F50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SK하이닉스가 29일 실적발표회를 열고, 올해 3분기 매출액 24조 4,489억 원, 영업이익 11조 3,834억 원(영업이익률 47%), 순이익 12조 5,975억 원(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순이익률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52%)의 경영실적을 기록했다고 밝혔다. (K-IFRS 기준)</w:t>
      </w:r>
    </w:p>
    <w:p w14:paraId="1B46D897" w14:textId="76226166" w:rsidR="00C44CC4" w:rsidRPr="00C44CC4" w:rsidRDefault="00C44CC4" w:rsidP="00C44CC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ab/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ab/>
      </w:r>
    </w:p>
    <w:p w14:paraId="07EFDB3F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D램과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가격 상승이 본격화되고, AI 서버용 고성능 제품 출하량이 증가하며 분기 기준 역대 최대 실적을 달성했다. 특히 영업이익은 창사 이래 최초로 10조 원을 넘어섰다.</w:t>
      </w:r>
    </w:p>
    <w:p w14:paraId="17BAB0D1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01E0CDA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 “고객들의 AI 인프라 투자 확대로 메모리 전반의 수요가 급증했다”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며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“HBM3E 12단과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DDR5 등 고부가가치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제품군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판매 확대로 지난 분기에 기록한 역대 최고 실적을 다시 한 번 넘어섰다”고 밝혔다.</w:t>
      </w:r>
    </w:p>
    <w:p w14:paraId="4BDFF99C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A77BD98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이어, “특히 AI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수요가 늘며 128GB 이상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고용량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DDR5 출하량은 전 분기 대비 2배 이상으로 증가했고,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낸드에서도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가격 프리미엄이 있는 AI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기업용 SSD(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, enterprise SSD) 비중이 확대됐다”고 강조했다.</w:t>
      </w:r>
    </w:p>
    <w:p w14:paraId="0EB16DF4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7D3D52C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 같은 호실적을 바탕으로 3분기 말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현금성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자산은 전 분기 대비 10조 9천억 원 늘어난 27조 9천억 원에 달했다. 반면 차입금은 24조 1천억 원에 그쳐 회사는 3조 8천억 원의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순현금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체제로 전환하는 데 성공했다.</w:t>
      </w:r>
    </w:p>
    <w:p w14:paraId="24A5E748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BA67706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AI 시장이 추론 중심으로 빠르게 전환되면서 AI 서버의 연산 부담을 일반 서버 등 다양한 인프라로 분산하려는 움직임이 나타나고 있어, 고성능 DDR5와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등 메모리 전반으로 수요가 확장될 것으로 내다봤다.</w:t>
      </w:r>
    </w:p>
    <w:p w14:paraId="0C30C7B2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669B914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여기에 최근 주요 AI 기업들이 전략적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파트너십을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잇달아 체결하며 AI 데이터센터 확장 계획을 발표하고 있는 점도 긍정적이다. 이는 HBM뿐만 아니라 일반 서버용 메모리를 포함한 다양한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제품군에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걸쳐 고른 수요 성장을 견인할 것으로 예상된다.</w:t>
      </w:r>
    </w:p>
    <w:p w14:paraId="60EDFDB2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52A6FCE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이에 SK하이닉스는 안정적으로 양산 중인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최선단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10나노급 6세대(1c) 공정으로의 전환을 가속해 서버,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모바일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, 그래픽 등 ‘풀 라인 업(Full-line up)’ D램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제품군을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갖추고, 공급을 확대해 고객 수요에 대응한다는 전략이다.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낸드에서는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세계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최고층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321단 기반 TLC, QLC 제품의 공급을 늘려 고객 요구에 신속히 대응할 계획이다.</w:t>
      </w:r>
    </w:p>
    <w:p w14:paraId="680FF904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7D0FDB9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한편, SK하이닉스는 주요 고객들과 내년 HBM 공급 협의를 모두 완료했다. 이 중 지난 9월 개발을 완료하고 양산 체제를 구축한 HBM4는 고객 요구 성능을 모두 충족하고 업계 최고 속도 지원이 가능하도록 준비했다. 회사는 이를 4분기부터 출하하기 시작해 내년에는 본격적인 판매 확대에 나설 계획이다. </w:t>
      </w:r>
    </w:p>
    <w:p w14:paraId="37A271EE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DF99B7D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아울러 회사는 급증하는 AI 메모리 수요로 D램과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전 제품에 대해 내년까지 고객 수요를 모두 확보했다고 밝혔다. </w:t>
      </w:r>
    </w:p>
    <w:p w14:paraId="1BCEF70F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DE8BC9C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예상을 뛰어넘는 고객 수요에 대응하고자 최근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클린룸을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조기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오픈하고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장비 반입을 시작한 M15X를 통해 신규 생산능력(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Capa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)을 빠르게 확보</w:t>
      </w: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하고 선단공정 전환을 가속화한다는 방침이다.</w:t>
      </w:r>
    </w:p>
    <w:p w14:paraId="1498956D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CA927AD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이에 따라 내년 투자 규모는 올해보다 증가할 계획으로, 회사는 시황에 맞는 최적화된 투자 전략을 유지할 것이라고 밝혔다.</w:t>
      </w:r>
    </w:p>
    <w:p w14:paraId="4063F0B7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7613ED5" w14:textId="5516604A" w:rsid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 김우현 부사장(CFO)은 “AI 기술 혁신으로 메모리 시장이 새로운 패러다임으로 전환하며 전 제품 영역으로 수요가 확산되기 시작했다”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며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“앞으로도 시장을 선도하는 제품과 차별화된 기술 경쟁력을 바탕으로 고객 수요에 대응하며 AI 메모리 리더십을 공고히 지켜가겠다”고 말</w:t>
      </w:r>
      <w:bookmarkStart w:id="16" w:name="_GoBack"/>
      <w:bookmarkEnd w:id="16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했다. [끝]</w:t>
      </w:r>
    </w:p>
    <w:p w14:paraId="457349AC" w14:textId="1D3367EF" w:rsidR="00A56D71" w:rsidRPr="003653DB" w:rsidRDefault="00A56D71" w:rsidP="00311ACF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FE1C8B2" w14:textId="27CE8F4F" w:rsidR="00311ACF" w:rsidRDefault="009809B1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■ 202</w:t>
      </w:r>
      <w:r w:rsidR="00A56D71">
        <w:rPr>
          <w:rFonts w:asciiTheme="majorHAnsi" w:eastAsiaTheme="majorHAnsi" w:hAnsiTheme="majorHAnsi"/>
          <w:b/>
          <w:color w:val="000000" w:themeColor="text1"/>
          <w:sz w:val="24"/>
        </w:rPr>
        <w:t>5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년 </w:t>
      </w:r>
      <w:r w:rsidR="00C44CC4">
        <w:rPr>
          <w:rFonts w:asciiTheme="majorHAnsi" w:eastAsiaTheme="majorHAnsi" w:hAnsiTheme="majorHAnsi"/>
          <w:b/>
          <w:color w:val="000000" w:themeColor="text1"/>
          <w:sz w:val="24"/>
        </w:rPr>
        <w:t>3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분기 경영실적 비교표 (K-IFRS 기준)</w:t>
      </w:r>
    </w:p>
    <w:p w14:paraId="7BB4C54C" w14:textId="77777777" w:rsidR="00311ACF" w:rsidRPr="00311ACF" w:rsidRDefault="00311ACF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</w:p>
    <w:tbl>
      <w:tblPr>
        <w:tblW w:w="8266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1286"/>
        <w:gridCol w:w="1287"/>
        <w:gridCol w:w="1287"/>
        <w:gridCol w:w="1287"/>
      </w:tblGrid>
      <w:tr w:rsidR="00311ACF" w:rsidRPr="00311ACF" w14:paraId="73FF97B0" w14:textId="77777777" w:rsidTr="00311ACF">
        <w:trPr>
          <w:trHeight w:val="359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DD49C7" w14:textId="77777777" w:rsidR="00311ACF" w:rsidRPr="00311ACF" w:rsidRDefault="00311ACF" w:rsidP="00311AC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642D8A" w14:textId="77777777" w:rsidR="00311ACF" w:rsidRPr="00311ACF" w:rsidRDefault="00311ACF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2025년</w:t>
            </w:r>
          </w:p>
          <w:p w14:paraId="6D33BD3B" w14:textId="5EE36BB8" w:rsidR="00311ACF" w:rsidRPr="00311ACF" w:rsidRDefault="004C7B7A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kern w:val="0"/>
                <w:sz w:val="21"/>
                <w:szCs w:val="21"/>
              </w:rPr>
              <w:t>3</w:t>
            </w:r>
            <w:r w:rsidR="00311ACF"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분기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EF5FD0" w14:textId="77777777" w:rsidR="00311ACF" w:rsidRPr="00311ACF" w:rsidRDefault="00311ACF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전기 대비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3BB79C" w14:textId="77777777" w:rsidR="00311ACF" w:rsidRPr="00311ACF" w:rsidRDefault="00311ACF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전년 동기 대비</w:t>
            </w:r>
          </w:p>
        </w:tc>
      </w:tr>
      <w:tr w:rsidR="004C7B7A" w:rsidRPr="00311ACF" w14:paraId="3F5510A6" w14:textId="77777777" w:rsidTr="00311ACF">
        <w:trPr>
          <w:trHeight w:val="7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6B27BC" w14:textId="77777777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273F" w14:textId="77777777" w:rsidR="004C7B7A" w:rsidRPr="00311ACF" w:rsidRDefault="004C7B7A" w:rsidP="004C7B7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4E6E74" w14:textId="0DD0A2D9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Q2’25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F05ECA" w14:textId="6F33B2E3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712E99" w14:textId="3A7B0E68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Q3’24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155470" w14:textId="63F24A68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C44CC4" w:rsidRPr="00311ACF" w14:paraId="05B52BD4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6C807A" w14:textId="7777777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kern w:val="0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689AFCD" w14:textId="3B2B37FF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244,489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29F907" w14:textId="7525298B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222,320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4436C2A" w14:textId="7ADAAB1A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997361" w14:textId="6AB522D0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175,731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EEC2E33" w14:textId="689625A0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39%</w:t>
            </w:r>
          </w:p>
        </w:tc>
      </w:tr>
      <w:tr w:rsidR="00C44CC4" w:rsidRPr="00311ACF" w14:paraId="0CFB79F6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5F1A91" w14:textId="7777777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kern w:val="0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58AE924" w14:textId="01197D1E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113,834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1EFA53" w14:textId="6BD6A8CB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92,129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875F960" w14:textId="64F5D671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ECACB1" w14:textId="4EB0CAA1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70,300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2A9F3D1" w14:textId="7921ADD9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62%</w:t>
            </w:r>
          </w:p>
        </w:tc>
      </w:tr>
      <w:tr w:rsidR="00C44CC4" w:rsidRPr="00311ACF" w14:paraId="6EE1ABEA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28E76" w14:textId="7777777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kern w:val="0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9A01244" w14:textId="5B746B68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47%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CE9ACE6" w14:textId="4411F328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41%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B9AA022" w14:textId="3D2909AF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6%P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FE3B79" w14:textId="4B993C3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53C8C5D" w14:textId="55A1EC8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7%P</w:t>
            </w:r>
          </w:p>
        </w:tc>
      </w:tr>
      <w:tr w:rsidR="00C44CC4" w:rsidRPr="00311ACF" w14:paraId="368066E3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8D31EF" w14:textId="77777777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311ACF">
              <w:rPr>
                <w:rFonts w:ascii="맑은 고딕" w:eastAsia="맑은 고딕" w:hAnsi="맑은 고딕" w:cs="굴림" w:hint="eastAsia"/>
                <w:kern w:val="0"/>
                <w:sz w:val="21"/>
                <w:szCs w:val="21"/>
              </w:rPr>
              <w:t>당기순이익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C17677" w14:textId="4A850C9A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125,975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EA887F" w14:textId="7EFFFB6F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69,962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36519" w14:textId="544A2DA2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80%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CA5EAD" w14:textId="7F44A82F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57,534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9EF095" w14:textId="60057BB5" w:rsidR="00C44CC4" w:rsidRPr="00311ACF" w:rsidRDefault="00C44CC4" w:rsidP="00C44CC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119%</w:t>
            </w:r>
          </w:p>
        </w:tc>
      </w:tr>
    </w:tbl>
    <w:p w14:paraId="6AED8995" w14:textId="4D0CABC4" w:rsidR="00311ACF" w:rsidRDefault="00311ACF" w:rsidP="00311ACF">
      <w:pPr>
        <w:spacing w:line="276" w:lineRule="auto"/>
        <w:rPr>
          <w:rFonts w:asciiTheme="minorHAnsi" w:eastAsiaTheme="minorHAnsi" w:hAnsiTheme="minorHAnsi"/>
          <w:color w:val="000000"/>
        </w:rPr>
      </w:pPr>
    </w:p>
    <w:p w14:paraId="574FBA8B" w14:textId="618A720D" w:rsidR="00A56D71" w:rsidRPr="00A56D71" w:rsidRDefault="00A56D71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  <w:szCs w:val="20"/>
        </w:rPr>
      </w:pPr>
      <w:r w:rsidRPr="00A56D71">
        <w:rPr>
          <w:rFonts w:asciiTheme="minorHAnsi" w:eastAsiaTheme="minorHAnsi" w:hAnsiTheme="minorHAnsi" w:hint="eastAsia"/>
          <w:color w:val="000000"/>
        </w:rPr>
        <w:t>※ 한국채택국제회계기준(K-IFRS)을 적용해 작성되었습니다</w:t>
      </w:r>
      <w:r w:rsidR="00311ACF">
        <w:rPr>
          <w:rFonts w:asciiTheme="minorHAnsi" w:eastAsiaTheme="minorHAnsi" w:hAnsiTheme="minorHAnsi" w:hint="eastAsia"/>
          <w:color w:val="000000"/>
        </w:rPr>
        <w:t>.</w:t>
      </w:r>
    </w:p>
    <w:p w14:paraId="28B43F37" w14:textId="77777777" w:rsidR="00A56D71" w:rsidRPr="00A56D71" w:rsidRDefault="00A56D71" w:rsidP="00A56D71">
      <w:pPr>
        <w:spacing w:line="276" w:lineRule="auto"/>
        <w:ind w:leftChars="283" w:left="907" w:hanging="341"/>
        <w:rPr>
          <w:rFonts w:asciiTheme="minorHAnsi" w:eastAsiaTheme="minorHAnsi" w:hAnsiTheme="minorHAnsi"/>
          <w:color w:val="000000"/>
          <w:sz w:val="24"/>
        </w:rPr>
      </w:pPr>
      <w:r w:rsidRPr="00A56D71">
        <w:rPr>
          <w:rFonts w:asciiTheme="minorHAnsi" w:eastAsiaTheme="minorHAnsi" w:hAnsiTheme="minorHAnsi" w:hint="eastAsia"/>
          <w:color w:val="000000"/>
        </w:rPr>
        <w:t>※ 同 실적 발표자료는 외부 감사인의 회계검토가 완료되지 않은 상태에서 작성되었으며, 회계 검토 과정에서 달라질 수 있습니다.</w:t>
      </w:r>
    </w:p>
    <w:p w14:paraId="01BBEB35" w14:textId="77777777" w:rsidR="00A56D71" w:rsidRPr="00311ACF" w:rsidRDefault="00A56D71" w:rsidP="00311ACF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A56D71" w:rsidRPr="00311ACF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8590B" w14:textId="77777777" w:rsidR="00D95E1C" w:rsidRDefault="00D95E1C" w:rsidP="002912DC">
      <w:r>
        <w:separator/>
      </w:r>
    </w:p>
  </w:endnote>
  <w:endnote w:type="continuationSeparator" w:id="0">
    <w:p w14:paraId="6DB0C135" w14:textId="77777777" w:rsidR="00D95E1C" w:rsidRDefault="00D95E1C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7848D01C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4C7B7A" w:rsidRPr="004C7B7A">
          <w:rPr>
            <w:rFonts w:asciiTheme="minorHAnsi" w:eastAsiaTheme="minorHAnsi" w:hAnsiTheme="minorHAnsi"/>
            <w:noProof/>
            <w:lang w:val="ko-KR"/>
          </w:rPr>
          <w:t>3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7709F" w14:textId="77777777" w:rsidR="00D95E1C" w:rsidRDefault="00D95E1C" w:rsidP="002912DC">
      <w:r>
        <w:separator/>
      </w:r>
    </w:p>
  </w:footnote>
  <w:footnote w:type="continuationSeparator" w:id="0">
    <w:p w14:paraId="47435B9F" w14:textId="77777777" w:rsidR="00D95E1C" w:rsidRDefault="00D95E1C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9484-0FF0-4577-9A1A-1203397E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2024-07-23T02:00:00Z</cp:lastPrinted>
  <dcterms:created xsi:type="dcterms:W3CDTF">2025-10-28T21:19:00Z</dcterms:created>
  <dcterms:modified xsi:type="dcterms:W3CDTF">2025-10-28T21:24:00Z</dcterms:modified>
</cp:coreProperties>
</file>