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79573B55" w:rsidR="006D6AC5" w:rsidRDefault="001961C0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  <w:r w:rsidRPr="00E75240">
              <w:rPr>
                <w:rFonts w:ascii="맑은 고딕" w:hAnsi="맑은 고딕" w:cs="Arial"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28C2617" wp14:editId="02BAAAEA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267335</wp:posOffset>
                  </wp:positionV>
                  <wp:extent cx="697230" cy="200025"/>
                  <wp:effectExtent l="19050" t="0" r="762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4213C6DF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202</w:t>
      </w:r>
      <w:r w:rsidR="00E83B2E">
        <w:rPr>
          <w:rFonts w:ascii="HY견고딕" w:eastAsia="HY견고딕" w:hint="eastAsia"/>
          <w:kern w:val="0"/>
          <w:sz w:val="22"/>
          <w:szCs w:val="20"/>
        </w:rPr>
        <w:t>6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년</w:t>
      </w:r>
      <w:r w:rsidR="00C44CC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E83B2E">
        <w:rPr>
          <w:rFonts w:ascii="HY견고딕" w:eastAsia="HY견고딕" w:hint="eastAsia"/>
          <w:kern w:val="0"/>
          <w:sz w:val="22"/>
          <w:szCs w:val="20"/>
        </w:rPr>
        <w:t>4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월</w:t>
      </w:r>
      <w:r w:rsidR="00C44CC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C44CC4">
        <w:rPr>
          <w:rFonts w:ascii="HY견고딕" w:eastAsia="HY견고딕"/>
          <w:kern w:val="0"/>
          <w:sz w:val="22"/>
          <w:szCs w:val="20"/>
        </w:rPr>
        <w:t>2</w:t>
      </w:r>
      <w:r w:rsidR="00E83B2E">
        <w:rPr>
          <w:rFonts w:ascii="HY견고딕" w:eastAsia="HY견고딕" w:hint="eastAsia"/>
          <w:kern w:val="0"/>
          <w:sz w:val="22"/>
          <w:szCs w:val="20"/>
        </w:rPr>
        <w:t>3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일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68C785EF" w14:textId="4CD698CE" w:rsidR="00C75D7E" w:rsidRPr="006B4CE0" w:rsidRDefault="00DB04E5" w:rsidP="00C75D7E">
      <w:pPr>
        <w:widowControl/>
        <w:wordWrap/>
        <w:autoSpaceDE/>
        <w:autoSpaceDN/>
        <w:spacing w:after="288"/>
        <w:jc w:val="center"/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</w:pPr>
      <w:bookmarkStart w:id="3" w:name="OLE_LINK4"/>
      <w:bookmarkStart w:id="4" w:name="OLE_LINK5"/>
      <w:bookmarkStart w:id="5" w:name="OLE_LINK6"/>
      <w:bookmarkStart w:id="6" w:name="OLE_LINK18"/>
      <w:bookmarkStart w:id="7" w:name="OLE_LINK19"/>
      <w:bookmarkStart w:id="8" w:name="OLE_LINK3"/>
      <w:bookmarkStart w:id="9" w:name="OLE_LINK7"/>
      <w:bookmarkStart w:id="10" w:name="OLE_LINK25"/>
      <w:r w:rsidRPr="006B4CE0">
        <w:rPr>
          <w:rFonts w:ascii="HY견고딕" w:eastAsia="HY견고딕" w:hAnsiTheme="majorHAnsi" w:hint="eastAsia"/>
          <w:bCs/>
          <w:color w:val="000000" w:themeColor="text1"/>
          <w:kern w:val="0"/>
          <w:sz w:val="32"/>
          <w:szCs w:val="32"/>
        </w:rPr>
        <w:t>SK하이닉스</w:t>
      </w:r>
      <w:r w:rsidR="00E83B2E" w:rsidRPr="00E83B2E">
        <w:rPr>
          <w:rFonts w:ascii="HY견고딕" w:eastAsia="HY견고딕" w:hAnsiTheme="majorHAnsi" w:hint="eastAsia"/>
          <w:bCs/>
          <w:color w:val="000000" w:themeColor="text1"/>
          <w:kern w:val="0"/>
          <w:sz w:val="32"/>
          <w:szCs w:val="32"/>
        </w:rPr>
        <w:t>2026년 1분기 경영실적 발표</w:t>
      </w:r>
    </w:p>
    <w:p w14:paraId="06F50D23" w14:textId="77777777" w:rsidR="00E83B2E" w:rsidRDefault="00E83B2E" w:rsidP="00C44CC4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bookmarkStart w:id="11" w:name="OLE_LINK8"/>
      <w:bookmarkStart w:id="12" w:name="OLE_LINK9"/>
      <w:bookmarkStart w:id="13" w:name="OLE_LINK14"/>
      <w:bookmarkStart w:id="14" w:name="OLE_LINK15"/>
      <w:bookmarkStart w:id="15" w:name="OLE_LINK2"/>
      <w:bookmarkEnd w:id="0"/>
      <w:bookmarkEnd w:id="3"/>
      <w:bookmarkEnd w:id="4"/>
      <w:r w:rsidRPr="00E83B2E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매출 52조 5,763억 원, 영업이익 37조 6,103억 원, 순이익 40조 3,459억 원</w:t>
      </w:r>
    </w:p>
    <w:p w14:paraId="39C4FB13" w14:textId="77777777" w:rsidR="00E83B2E" w:rsidRDefault="00E83B2E" w:rsidP="00C44CC4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AI 수요 강세 속 고부가 제품 판매 확대… 사상 최대 분기 실적 달성</w:t>
      </w:r>
    </w:p>
    <w:p w14:paraId="4E362921" w14:textId="77777777" w:rsidR="00E83B2E" w:rsidRDefault="00E83B2E" w:rsidP="00C44CC4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proofErr w:type="spellStart"/>
      <w:r w:rsidRPr="00E83B2E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에이전틱</w:t>
      </w:r>
      <w:proofErr w:type="spellEnd"/>
      <w:r w:rsidRPr="00E83B2E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 AI 시대, D램∙낸드 전방위 수요 증가… 신제품으로 선제 대응 계획</w:t>
      </w:r>
      <w:r w:rsidRPr="00E83B2E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</w:t>
      </w:r>
    </w:p>
    <w:p w14:paraId="2A35E932" w14:textId="1F5E5D0A" w:rsidR="00C44CC4" w:rsidRDefault="00C44CC4" w:rsidP="00C44CC4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“</w:t>
      </w:r>
      <w:r w:rsidR="00E83B2E" w:rsidRPr="00E83B2E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수요 가시성 고려한 투자로 공급 </w:t>
      </w:r>
      <w:proofErr w:type="spellStart"/>
      <w:r w:rsidR="00E83B2E" w:rsidRPr="00E83B2E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안정성∙재무</w:t>
      </w:r>
      <w:proofErr w:type="spellEnd"/>
      <w:r w:rsidR="00E83B2E" w:rsidRPr="00E83B2E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건전성 동시 확보할 것</w:t>
      </w:r>
      <w:r w:rsidRPr="00C44CC4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”</w:t>
      </w:r>
    </w:p>
    <w:p w14:paraId="53E20541" w14:textId="77777777" w:rsidR="00311ACF" w:rsidRPr="00311ACF" w:rsidRDefault="00311ACF" w:rsidP="00311ACF">
      <w:p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</w:p>
    <w:p w14:paraId="5618D98C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SK하이닉스가 올해 1분기 매출액 52조 5,763억 원, 영업이익 37조 6,103억 원(영업이익률 72%), 순이익 40조 3,459억 원(순이익률 77%)의 경영실적을 기록했다고 23일 밝혔다. (K-IFRS 기준)</w:t>
      </w:r>
    </w:p>
    <w:p w14:paraId="125EA129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</w:p>
    <w:p w14:paraId="53595871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분기 기준으로 볼 때, 매출은 사상 최초로 50조 원을 돌파했으며, 영업이익과 영업이익률 역시 각각 37.6조 원, 72%로 창사 이래 최고 기록을 달성했다. 영업이익은 전분기 대비 2배 수준으로 급증하며 수익성 개선세를 뚜렷이 보여줬다.</w:t>
      </w:r>
    </w:p>
    <w:p w14:paraId="25A2C9E2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</w:p>
    <w:p w14:paraId="7127ACFA" w14:textId="77777777" w:rsidR="00E83B2E" w:rsidRDefault="00E83B2E" w:rsidP="00E83B2E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/>
          <w:color w:val="7F7F7F" w:themeColor="text1" w:themeTint="80"/>
          <w:kern w:val="0"/>
          <w:sz w:val="22"/>
          <w:szCs w:val="18"/>
        </w:rPr>
      </w:pPr>
      <w:r w:rsidRPr="00E83B2E">
        <w:rPr>
          <w:rFonts w:asciiTheme="minorEastAsia" w:eastAsiaTheme="minorEastAsia" w:hAnsiTheme="minorEastAsia" w:hint="eastAsia"/>
          <w:color w:val="EE0000"/>
          <w:kern w:val="0"/>
          <w:sz w:val="22"/>
          <w:szCs w:val="18"/>
        </w:rPr>
        <w:t xml:space="preserve">* </w:t>
      </w:r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>2025년 4분기 매출 32조 8,267억 원, 영업이익 19조 1,696억 원</w:t>
      </w:r>
    </w:p>
    <w:p w14:paraId="168ED76C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SK하이닉스는 "1분기는 계절적 비수기임에도 AI 인프라 투자 확대로 수요 강세가 이어진 가운데, HBM·고용량 서버용 D램 모듈·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eSSD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등 고부가가치 제품 판매를 확대하며 실적 상승세를 이어갔다"고 설명했다.</w:t>
      </w:r>
    </w:p>
    <w:p w14:paraId="00EB11A5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</w:p>
    <w:p w14:paraId="55109E63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이 같은 실적 호조에 힘입어 1분기 말 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현금성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자산은 전분기 말 대비 19.4조 원 늘어난 54.3조 원을 기록했다. 반면, 차입금은 2.9조 원 감소한 19.3조 원을 기록하며 35조 원의 순현금을 달성했다.</w:t>
      </w:r>
    </w:p>
    <w:p w14:paraId="799925B0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</w:p>
    <w:p w14:paraId="0347C18F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lastRenderedPageBreak/>
        <w:t xml:space="preserve">회사는 AI가 대형 모델 학습 중심에서 다양한 서비스 환경의 실시간 추론을 반복하는 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에이전틱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AI 단계로 진화하면서 메모리 수요 기반이 D램, 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낸드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전반으로 넓어지고 있다고 분석했다.</w:t>
      </w:r>
    </w:p>
    <w:p w14:paraId="72D93EB9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</w:p>
    <w:p w14:paraId="13482CC2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메모리 효율화 기술 확산 역시 AI 서비스의 경제성을 높이고 전체 서비스 규모 확대로 이어져 메모리 수요를 추가로 견인할 것이라고 내다봤다. 이를 바탕으로 D램·낸드 모두에서 우호적인 가격 환경이 지속될 것으로 전망했다.</w:t>
      </w:r>
    </w:p>
    <w:p w14:paraId="52E9C818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</w:p>
    <w:p w14:paraId="6DAE34B5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SK하이닉스는 D램과 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낸드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전반에서 신제품 개발과 공급을 이어가며 다양화된 메모리 수요에 대응한다는 방침이다.</w:t>
      </w:r>
    </w:p>
    <w:p w14:paraId="4F28E47C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</w:p>
    <w:p w14:paraId="6ED25611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HBM은 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성능·수율·품질·공급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안정성을 통합한 종합적인 실행 역량을 더욱 강화한다. D램은 세계 최초로 10나노급 6세대(1c) 공정을 적용한 LPDDR6와, 같은 공정을 기반으로 이달 양산을 시작한 192GB SOCAMM2의 공급을 본격화한다.</w:t>
      </w:r>
    </w:p>
    <w:p w14:paraId="680FF904" w14:textId="77777777" w:rsid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5897323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낸드는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  <w:r w:rsidRPr="00E83B2E">
        <w:rPr>
          <w:rFonts w:asciiTheme="minorEastAsia" w:eastAsiaTheme="minorEastAsia" w:hAnsiTheme="minorEastAsia" w:hint="eastAsia"/>
          <w:color w:val="EE0000"/>
          <w:kern w:val="0"/>
          <w:sz w:val="24"/>
          <w:szCs w:val="20"/>
        </w:rPr>
        <w:t>*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CTF 기반 321단 </w:t>
      </w:r>
      <w:r w:rsidRPr="00E83B2E">
        <w:rPr>
          <w:rFonts w:asciiTheme="minorEastAsia" w:eastAsiaTheme="minorEastAsia" w:hAnsiTheme="minorEastAsia" w:hint="eastAsia"/>
          <w:color w:val="EE0000"/>
          <w:kern w:val="0"/>
          <w:sz w:val="24"/>
          <w:szCs w:val="20"/>
        </w:rPr>
        <w:t>**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QLC 기술을 적용한 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cSSD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 ‘PQC21’의 공급을 개시한 데 이어, 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eSSD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 전 영역에 걸쳐 고성능 TLC와 대용량 QLC를 아우르는 라인업으로 AI 수요 전반에 유연하게 대응한다. 특히, 대용량 QLC 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eSSD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에 강점을 보유한 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솔리다임과의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시너지를 바탕으로 AI 데이터센터와 AI PC 스토리지 시장에서의 경쟁력을 강화할 계획이다.</w:t>
      </w:r>
    </w:p>
    <w:p w14:paraId="7512DB81" w14:textId="77777777" w:rsidR="00E83B2E" w:rsidRPr="00E83B2E" w:rsidRDefault="00E83B2E" w:rsidP="00E83B2E">
      <w:pPr>
        <w:tabs>
          <w:tab w:val="num" w:pos="318"/>
        </w:tabs>
        <w:spacing w:line="276" w:lineRule="auto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</w:p>
    <w:p w14:paraId="6F7BE33D" w14:textId="77777777" w:rsidR="00E83B2E" w:rsidRPr="00E83B2E" w:rsidRDefault="00E83B2E" w:rsidP="00E83B2E">
      <w:pPr>
        <w:tabs>
          <w:tab w:val="num" w:pos="318"/>
        </w:tabs>
        <w:spacing w:line="276" w:lineRule="auto"/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</w:pPr>
      <w:r w:rsidRPr="00E83B2E">
        <w:rPr>
          <w:rFonts w:asciiTheme="minorEastAsia" w:eastAsiaTheme="minorEastAsia" w:hAnsiTheme="minorEastAsia" w:hint="eastAsia"/>
          <w:color w:val="EE0000"/>
          <w:kern w:val="0"/>
          <w:sz w:val="22"/>
          <w:szCs w:val="18"/>
        </w:rPr>
        <w:t>*</w:t>
      </w:r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 xml:space="preserve"> CTF (Charge Trap Flash</w:t>
      </w:r>
      <w:proofErr w:type="gramStart"/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>) :</w:t>
      </w:r>
      <w:proofErr w:type="gramEnd"/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 xml:space="preserve"> 전하를 도체에 저장하는 </w:t>
      </w:r>
      <w:proofErr w:type="spellStart"/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>플로팅</w:t>
      </w:r>
      <w:proofErr w:type="spellEnd"/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 xml:space="preserve"> 게이트(Floating Gate)와 달리 전하를 부도체에 저장해 셀간 간섭 문제를 해결한 기술로, </w:t>
      </w:r>
      <w:proofErr w:type="spellStart"/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>플로팅</w:t>
      </w:r>
      <w:proofErr w:type="spellEnd"/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 xml:space="preserve"> 게이트 기술보다 단위당 셀 면적을 줄이면서도 읽기, 쓰기 성능을 높일 수 있는 것이 특징</w:t>
      </w:r>
    </w:p>
    <w:p w14:paraId="7EC99344" w14:textId="77777777" w:rsidR="00E83B2E" w:rsidRPr="00E83B2E" w:rsidRDefault="00E83B2E" w:rsidP="00E83B2E">
      <w:pPr>
        <w:tabs>
          <w:tab w:val="num" w:pos="318"/>
        </w:tabs>
        <w:spacing w:line="276" w:lineRule="auto"/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</w:pPr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> </w:t>
      </w:r>
    </w:p>
    <w:p w14:paraId="16239E81" w14:textId="77777777" w:rsidR="00E83B2E" w:rsidRPr="00E83B2E" w:rsidRDefault="00E83B2E" w:rsidP="00E83B2E">
      <w:pPr>
        <w:tabs>
          <w:tab w:val="num" w:pos="318"/>
        </w:tabs>
        <w:spacing w:line="276" w:lineRule="auto"/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</w:pPr>
      <w:r w:rsidRPr="00E83B2E">
        <w:rPr>
          <w:rFonts w:asciiTheme="minorEastAsia" w:eastAsiaTheme="minorEastAsia" w:hAnsiTheme="minorEastAsia" w:hint="eastAsia"/>
          <w:color w:val="EE0000"/>
          <w:kern w:val="0"/>
          <w:sz w:val="22"/>
          <w:szCs w:val="18"/>
        </w:rPr>
        <w:t>**</w:t>
      </w:r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> </w:t>
      </w:r>
      <w:proofErr w:type="spellStart"/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>낸드플래시는</w:t>
      </w:r>
      <w:proofErr w:type="spellEnd"/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 xml:space="preserve"> 한 개의 셀(Cell)에 몇 개의 정보(비트 단위)를 </w:t>
      </w:r>
      <w:proofErr w:type="spellStart"/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>저장하느냐에</w:t>
      </w:r>
      <w:proofErr w:type="spellEnd"/>
      <w:r w:rsidRPr="00E83B2E">
        <w:rPr>
          <w:rFonts w:asciiTheme="minorEastAsia" w:eastAsiaTheme="minorEastAsia" w:hAnsiTheme="minorEastAsia" w:hint="eastAsia"/>
          <w:color w:val="7F7F7F" w:themeColor="text1" w:themeTint="80"/>
          <w:kern w:val="0"/>
          <w:sz w:val="22"/>
          <w:szCs w:val="18"/>
        </w:rPr>
        <w:t xml:space="preserve"> 따라 SLC(Single Level Cell, 1개)-MLC(Multi Level Cell, 2개)-TLC(Triple Level Cell, 3개)-QLC(Quadruple Level Cell, 4개)-PLC(Penta Level Cell, 5개) 등으로 규격이 나뉨. 정보 저장량이 늘어날수록 같은 면적에 더 많은 데이터를 저장할 수 있음</w:t>
      </w:r>
    </w:p>
    <w:p w14:paraId="6F8465A5" w14:textId="77777777" w:rsidR="00E83B2E" w:rsidRPr="00E83B2E" w:rsidRDefault="00E83B2E" w:rsidP="00E83B2E">
      <w:pPr>
        <w:tabs>
          <w:tab w:val="num" w:pos="318"/>
        </w:tabs>
        <w:spacing w:line="276" w:lineRule="auto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</w:p>
    <w:p w14:paraId="453C6047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00" w:firstLine="240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lastRenderedPageBreak/>
        <w:t>한편, SK하이닉스는 고객 수요가 공급 역량을 상회하는 환경이 지속되는 가운데, AI 시대 구조적 수요 성장에 대응할 수 있는 공급 역량 확보가 핵심 경쟁력으로 부각됐다고 강조했다.</w:t>
      </w:r>
    </w:p>
    <w:p w14:paraId="38466F04" w14:textId="77777777" w:rsidR="00E83B2E" w:rsidRPr="00E83B2E" w:rsidRDefault="00E83B2E" w:rsidP="00E83B2E">
      <w:pPr>
        <w:tabs>
          <w:tab w:val="num" w:pos="318"/>
        </w:tabs>
        <w:spacing w:line="276" w:lineRule="auto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</w:p>
    <w:p w14:paraId="011DC386" w14:textId="77777777" w:rsidR="00E83B2E" w:rsidRPr="00E83B2E" w:rsidRDefault="00E83B2E" w:rsidP="00E83B2E">
      <w:pPr>
        <w:tabs>
          <w:tab w:val="num" w:pos="318"/>
        </w:tabs>
        <w:spacing w:line="276" w:lineRule="auto"/>
        <w:ind w:firstLineChars="100" w:firstLine="240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이에 올해 투자 규모는 M15X 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램프업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, 용인 클러스터를 중심으로 한 인프라 준비와 EUV 등 핵심 장비 확보로 전년 대비 크게 증가할 것이라고 설명했다.</w:t>
      </w:r>
    </w:p>
    <w:p w14:paraId="6DE2A1B3" w14:textId="77777777" w:rsidR="00E83B2E" w:rsidRPr="00E83B2E" w:rsidRDefault="00E83B2E" w:rsidP="00E83B2E">
      <w:pPr>
        <w:tabs>
          <w:tab w:val="num" w:pos="318"/>
        </w:tabs>
        <w:spacing w:line="276" w:lineRule="auto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 </w:t>
      </w:r>
    </w:p>
    <w:p w14:paraId="2A624ECF" w14:textId="070BA6B4" w:rsidR="00E83B2E" w:rsidRPr="00E83B2E" w:rsidRDefault="00E83B2E" w:rsidP="00E83B2E">
      <w:pPr>
        <w:tabs>
          <w:tab w:val="num" w:pos="318"/>
        </w:tabs>
        <w:spacing w:line="276" w:lineRule="auto"/>
        <w:ind w:firstLineChars="100" w:firstLine="240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SK하이닉스는 "중장기 수요 성장에 선제적으로 대응할 수 있는 생산 기반을 전략적으로 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확충하겠다”며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, “수요 가시성을 고려한 투자를 통해 공급 안정성과 재무 건전성을 함께 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확보하겠다”고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말했다. [끝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]</w:t>
      </w:r>
    </w:p>
    <w:p w14:paraId="457349AC" w14:textId="1D3367EF" w:rsidR="00A56D71" w:rsidRPr="003653DB" w:rsidRDefault="00A56D71" w:rsidP="00311ACF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bookmarkEnd w:id="1"/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6FE1C8B2" w14:textId="2A605796" w:rsidR="00311ACF" w:rsidRDefault="009809B1" w:rsidP="00311ACF">
      <w:pPr>
        <w:widowControl/>
        <w:wordWrap/>
        <w:autoSpaceDE/>
        <w:jc w:val="left"/>
        <w:rPr>
          <w:rFonts w:asciiTheme="majorHAnsi" w:eastAsiaTheme="majorHAnsi" w:hAnsiTheme="majorHAnsi"/>
          <w:b/>
          <w:color w:val="000000" w:themeColor="text1"/>
          <w:sz w:val="24"/>
        </w:rPr>
      </w:pP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>■ 202</w:t>
      </w:r>
      <w:r w:rsidR="00E83B2E">
        <w:rPr>
          <w:rFonts w:asciiTheme="majorHAnsi" w:eastAsiaTheme="majorHAnsi" w:hAnsiTheme="majorHAnsi" w:hint="eastAsia"/>
          <w:b/>
          <w:color w:val="000000" w:themeColor="text1"/>
          <w:sz w:val="24"/>
        </w:rPr>
        <w:t>6</w:t>
      </w: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 xml:space="preserve">년 </w:t>
      </w:r>
      <w:r w:rsidR="00E83B2E">
        <w:rPr>
          <w:rFonts w:asciiTheme="majorHAnsi" w:eastAsiaTheme="majorHAnsi" w:hAnsiTheme="majorHAnsi" w:hint="eastAsia"/>
          <w:b/>
          <w:color w:val="000000" w:themeColor="text1"/>
          <w:sz w:val="24"/>
        </w:rPr>
        <w:t>1</w:t>
      </w: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>분기 경영실적 비교표 (K-IFRS 기준)</w:t>
      </w:r>
    </w:p>
    <w:p w14:paraId="7BB4C54C" w14:textId="77777777" w:rsidR="00311ACF" w:rsidRPr="00311ACF" w:rsidRDefault="00311ACF" w:rsidP="00311ACF">
      <w:pPr>
        <w:widowControl/>
        <w:wordWrap/>
        <w:autoSpaceDE/>
        <w:jc w:val="left"/>
        <w:rPr>
          <w:rFonts w:asciiTheme="majorHAnsi" w:eastAsiaTheme="majorHAnsi" w:hAnsiTheme="majorHAnsi"/>
          <w:b/>
          <w:color w:val="000000" w:themeColor="text1"/>
          <w:sz w:val="24"/>
        </w:rPr>
      </w:pPr>
    </w:p>
    <w:tbl>
      <w:tblPr>
        <w:tblW w:w="8266" w:type="dxa"/>
        <w:tblInd w:w="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375"/>
        <w:gridCol w:w="1286"/>
        <w:gridCol w:w="1287"/>
        <w:gridCol w:w="1287"/>
        <w:gridCol w:w="1287"/>
      </w:tblGrid>
      <w:tr w:rsidR="00311ACF" w:rsidRPr="00311ACF" w14:paraId="73FF97B0" w14:textId="77777777" w:rsidTr="00311ACF">
        <w:trPr>
          <w:trHeight w:val="359"/>
        </w:trPr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DD49C7" w14:textId="77777777" w:rsidR="00311ACF" w:rsidRPr="00311ACF" w:rsidRDefault="00311ACF" w:rsidP="00311AC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80808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4A668F" w14:textId="77777777" w:rsidR="00E83B2E" w:rsidRPr="00E83B2E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1"/>
                <w:szCs w:val="21"/>
              </w:rPr>
            </w:pPr>
            <w:r w:rsidRPr="00E83B2E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2026년</w:t>
            </w:r>
          </w:p>
          <w:p w14:paraId="6D33BD3B" w14:textId="154828A5" w:rsidR="00311ACF" w:rsidRPr="00E83B2E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</w:pPr>
            <w:r w:rsidRPr="00E83B2E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1분기</w:t>
            </w:r>
          </w:p>
        </w:tc>
        <w:tc>
          <w:tcPr>
            <w:tcW w:w="25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EF5FD0" w14:textId="77777777" w:rsidR="00311ACF" w:rsidRPr="00311ACF" w:rsidRDefault="00311ACF" w:rsidP="00311ACF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전기 대비</w:t>
            </w:r>
          </w:p>
        </w:tc>
        <w:tc>
          <w:tcPr>
            <w:tcW w:w="2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3BB79C" w14:textId="77777777" w:rsidR="00311ACF" w:rsidRPr="00311ACF" w:rsidRDefault="00311ACF" w:rsidP="00311ACF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전년 동기 대비</w:t>
            </w:r>
          </w:p>
        </w:tc>
      </w:tr>
      <w:tr w:rsidR="004C7B7A" w:rsidRPr="00311ACF" w14:paraId="3F5510A6" w14:textId="77777777" w:rsidTr="00311ACF">
        <w:trPr>
          <w:trHeight w:val="7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6B27BC" w14:textId="77777777" w:rsidR="004C7B7A" w:rsidRPr="00311ACF" w:rsidRDefault="004C7B7A" w:rsidP="004C7B7A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(단위: 억 원)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0273F" w14:textId="77777777" w:rsidR="004C7B7A" w:rsidRPr="00311ACF" w:rsidRDefault="004C7B7A" w:rsidP="004C7B7A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4E6E74" w14:textId="0DD0A2D9" w:rsidR="004C7B7A" w:rsidRPr="00311ACF" w:rsidRDefault="004C7B7A" w:rsidP="004C7B7A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Q2’25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1F05ECA" w14:textId="6F33B2E3" w:rsidR="004C7B7A" w:rsidRPr="00311ACF" w:rsidRDefault="004C7B7A" w:rsidP="004C7B7A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증감률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712E99" w14:textId="3A7B0E68" w:rsidR="004C7B7A" w:rsidRPr="00311ACF" w:rsidRDefault="004C7B7A" w:rsidP="004C7B7A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Q3’24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155470" w14:textId="63F24A68" w:rsidR="004C7B7A" w:rsidRPr="00311ACF" w:rsidRDefault="004C7B7A" w:rsidP="004C7B7A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증감률</w:t>
            </w:r>
          </w:p>
        </w:tc>
      </w:tr>
      <w:tr w:rsidR="00E83B2E" w:rsidRPr="00311ACF" w14:paraId="05B52BD4" w14:textId="77777777" w:rsidTr="00311ACF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6C807A" w14:textId="7050E652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매출액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689AFCD" w14:textId="37CD1A1F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525,763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B29F907" w14:textId="2AD1EC02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328,267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4436C2A" w14:textId="0DF824BE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60%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997361" w14:textId="1D5B50C9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176,391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EEC2E33" w14:textId="7CC9C63A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198%</w:t>
            </w:r>
          </w:p>
        </w:tc>
      </w:tr>
      <w:tr w:rsidR="00E83B2E" w:rsidRPr="00311ACF" w14:paraId="0CFB79F6" w14:textId="77777777" w:rsidTr="00311ACF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5F1A91" w14:textId="542CC585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영업이익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58AE924" w14:textId="75512D89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376,103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D1EFA53" w14:textId="0A858E7E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191,696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875F960" w14:textId="736BB2E9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96%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ECACB1" w14:textId="08F9729E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74,405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2A9F3D1" w14:textId="232AC836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405%</w:t>
            </w:r>
          </w:p>
        </w:tc>
      </w:tr>
      <w:tr w:rsidR="00E83B2E" w:rsidRPr="00311ACF" w14:paraId="6EE1ABEA" w14:textId="77777777" w:rsidTr="00311ACF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828E76" w14:textId="72300F30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영업이익률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9A01244" w14:textId="457E8EAA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72%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CE9ACE6" w14:textId="1C16676B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58%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B9AA022" w14:textId="294530CF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14%P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FE3B79" w14:textId="4409DBC9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42%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53C8C5D" w14:textId="72702FCE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30%P</w:t>
            </w:r>
          </w:p>
        </w:tc>
      </w:tr>
      <w:tr w:rsidR="00E83B2E" w:rsidRPr="00311ACF" w14:paraId="368066E3" w14:textId="77777777" w:rsidTr="00311ACF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8D31EF" w14:textId="3AF45A8D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당기순이익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C17677" w14:textId="55A8CAFF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403,459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EA887F" w14:textId="25C2E359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152,460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836519" w14:textId="382A58FF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165%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CA5EAD" w14:textId="1642D67C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81,082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9EF095" w14:textId="191B9808" w:rsidR="00E83B2E" w:rsidRPr="00311ACF" w:rsidRDefault="00E83B2E" w:rsidP="00E83B2E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Noto Sans KR" w:eastAsia="Noto Sans KR" w:hAnsi="Noto Sans KR" w:hint="eastAsia"/>
                <w:sz w:val="21"/>
                <w:szCs w:val="21"/>
              </w:rPr>
              <w:t>398%</w:t>
            </w:r>
          </w:p>
        </w:tc>
      </w:tr>
    </w:tbl>
    <w:p w14:paraId="6AED8995" w14:textId="4D0CABC4" w:rsidR="00311ACF" w:rsidRDefault="00311ACF" w:rsidP="00311ACF">
      <w:pPr>
        <w:spacing w:line="276" w:lineRule="auto"/>
        <w:rPr>
          <w:rFonts w:asciiTheme="minorHAnsi" w:eastAsiaTheme="minorHAnsi" w:hAnsiTheme="minorHAnsi"/>
          <w:color w:val="000000"/>
        </w:rPr>
      </w:pPr>
    </w:p>
    <w:p w14:paraId="574FBA8B" w14:textId="618A720D" w:rsidR="00A56D71" w:rsidRPr="00A56D71" w:rsidRDefault="00A56D71" w:rsidP="00A56D71">
      <w:pPr>
        <w:spacing w:line="276" w:lineRule="auto"/>
        <w:ind w:leftChars="283" w:left="566"/>
        <w:rPr>
          <w:rFonts w:asciiTheme="minorHAnsi" w:eastAsiaTheme="minorHAnsi" w:hAnsiTheme="minorHAnsi"/>
          <w:color w:val="000000"/>
          <w:szCs w:val="20"/>
        </w:rPr>
      </w:pPr>
      <w:r w:rsidRPr="00A56D71">
        <w:rPr>
          <w:rFonts w:asciiTheme="minorHAnsi" w:eastAsiaTheme="minorHAnsi" w:hAnsiTheme="minorHAnsi" w:hint="eastAsia"/>
          <w:color w:val="000000"/>
        </w:rPr>
        <w:t>※ 한국채택국제회계기준(K-IFRS)을 적용해 작성되었습니다</w:t>
      </w:r>
      <w:r w:rsidR="00311ACF">
        <w:rPr>
          <w:rFonts w:asciiTheme="minorHAnsi" w:eastAsiaTheme="minorHAnsi" w:hAnsiTheme="minorHAnsi" w:hint="eastAsia"/>
          <w:color w:val="000000"/>
        </w:rPr>
        <w:t>.</w:t>
      </w:r>
    </w:p>
    <w:p w14:paraId="28B43F37" w14:textId="77777777" w:rsidR="00A56D71" w:rsidRPr="00A56D71" w:rsidRDefault="00A56D71" w:rsidP="00A56D71">
      <w:pPr>
        <w:spacing w:line="276" w:lineRule="auto"/>
        <w:ind w:leftChars="283" w:left="907" w:hanging="341"/>
        <w:rPr>
          <w:rFonts w:asciiTheme="minorHAnsi" w:eastAsiaTheme="minorHAnsi" w:hAnsiTheme="minorHAnsi"/>
          <w:color w:val="000000"/>
          <w:sz w:val="24"/>
        </w:rPr>
      </w:pPr>
      <w:r w:rsidRPr="00A56D71">
        <w:rPr>
          <w:rFonts w:asciiTheme="minorHAnsi" w:eastAsiaTheme="minorHAnsi" w:hAnsiTheme="minorHAnsi" w:hint="eastAsia"/>
          <w:color w:val="000000"/>
        </w:rPr>
        <w:t>※ 同 실적 발표자료는 외부 감사인의 회계검토가 완료되지 않은 상태에서 작성되었으며, 회계 검토 과정에서 달라질 수 있습니다.</w:t>
      </w:r>
    </w:p>
    <w:p w14:paraId="01BBEB35" w14:textId="4A13F294" w:rsidR="00A56D71" w:rsidRDefault="00A56D71" w:rsidP="00311ACF">
      <w:pPr>
        <w:wordWrap/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FAA0F4A" w14:textId="77777777" w:rsidR="00E83B2E" w:rsidRPr="00E83B2E" w:rsidRDefault="00E83B2E" w:rsidP="00E83B2E">
      <w:pPr>
        <w:wordWrap/>
        <w:spacing w:line="276" w:lineRule="auto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Disclaimer</w:t>
      </w:r>
    </w:p>
    <w:p w14:paraId="375B4935" w14:textId="77777777" w:rsidR="00E83B2E" w:rsidRPr="00E83B2E" w:rsidRDefault="00E83B2E" w:rsidP="00E83B2E">
      <w:pPr>
        <w:wordWrap/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41450D8" w14:textId="77777777" w:rsidR="00E83B2E" w:rsidRPr="00E83B2E" w:rsidRDefault="00E83B2E" w:rsidP="00E83B2E">
      <w:pPr>
        <w:wordWrap/>
        <w:spacing w:line="276" w:lineRule="auto"/>
        <w:ind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본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자료는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정보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제공만을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위하여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,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당사에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의해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작성된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것으로서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,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본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자료에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기재된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정보에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대해서는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별도의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독립적인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확인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과정을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거치지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않았습니다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.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본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자료에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포함된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정보의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공정성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,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정확성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또는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완결성과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관련해서는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어떠한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진술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및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보장도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제공되지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않으며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,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이를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신뢰하여서도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안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됩니다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.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당사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및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임직원은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본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자료와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관련하여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,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또는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그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내용을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이용함으로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인하여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발생하는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어떠한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손해에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lastRenderedPageBreak/>
        <w:t>대해서도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민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∙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형사상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및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행정상의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책임을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일체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부담하지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않습니다</w:t>
      </w: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.</w:t>
      </w:r>
    </w:p>
    <w:p w14:paraId="534916D6" w14:textId="77777777" w:rsidR="00E83B2E" w:rsidRPr="00E83B2E" w:rsidRDefault="00E83B2E" w:rsidP="00E83B2E">
      <w:pPr>
        <w:wordWrap/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</w:p>
    <w:p w14:paraId="216B0FBF" w14:textId="2033E0E2" w:rsidR="00E83B2E" w:rsidRPr="00E83B2E" w:rsidRDefault="00E83B2E" w:rsidP="00E83B2E">
      <w:pPr>
        <w:wordWrap/>
        <w:spacing w:line="276" w:lineRule="auto"/>
        <w:ind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본 자료는 외부감사인의 감사가 완료되지 않은 상태에서 투자자 여러분의 편의를 위하여 작성된 자료이며, 내용 중 일부는 외부감사인의 감사 과정에서 달라질 수 있습니다.</w:t>
      </w:r>
    </w:p>
    <w:p w14:paraId="2347D8E5" w14:textId="77777777" w:rsidR="00E83B2E" w:rsidRPr="00E83B2E" w:rsidRDefault="00E83B2E" w:rsidP="00E83B2E">
      <w:pPr>
        <w:wordWrap/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</w:p>
    <w:p w14:paraId="5007546B" w14:textId="01470510" w:rsidR="00E83B2E" w:rsidRPr="00E83B2E" w:rsidRDefault="00E83B2E" w:rsidP="00E83B2E">
      <w:pPr>
        <w:wordWrap/>
        <w:spacing w:line="276" w:lineRule="auto"/>
        <w:ind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 자료에 포함된 회사의 재무성과에 대한 모든 정보는 한국채택국제회계기준(K-IFRS)에 따라 연결 기준으로 작성되었습니다.</w:t>
      </w:r>
    </w:p>
    <w:p w14:paraId="2AC8D0D7" w14:textId="1C99EAD1" w:rsidR="00E83B2E" w:rsidRPr="00E83B2E" w:rsidRDefault="00E83B2E" w:rsidP="00E83B2E">
      <w:pPr>
        <w:wordWrap/>
        <w:spacing w:line="276" w:lineRule="auto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</w:p>
    <w:p w14:paraId="7500920F" w14:textId="77777777" w:rsidR="00E83B2E" w:rsidRPr="00E83B2E" w:rsidRDefault="00E83B2E" w:rsidP="00E83B2E">
      <w:pPr>
        <w:wordWrap/>
        <w:spacing w:line="276" w:lineRule="auto"/>
        <w:ind w:firstLineChars="100" w:firstLine="240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또한, 본 자료는 미래에 대한 예상, 전망, 계획, 기대 등의 ‘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예측정보’를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포함하고 있으며 이러한 ‘</w:t>
      </w:r>
      <w:proofErr w:type="spell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예측정보’는</w:t>
      </w:r>
      <w:proofErr w:type="spell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그 성격의 불확실성으로 인해 회사의 실제 미래실적과 중대한 차이가 있을 수 있음을 양지하시기 바랍니다.</w:t>
      </w:r>
    </w:p>
    <w:p w14:paraId="6621AD35" w14:textId="77777777" w:rsidR="00E83B2E" w:rsidRPr="00E83B2E" w:rsidRDefault="00E83B2E" w:rsidP="00E83B2E">
      <w:pPr>
        <w:wordWrap/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</w:p>
    <w:p w14:paraId="19DBE8C3" w14:textId="2D9B5CD3" w:rsidR="00E83B2E" w:rsidRPr="00311ACF" w:rsidRDefault="00E83B2E" w:rsidP="00E83B2E">
      <w:pPr>
        <w:wordWrap/>
        <w:spacing w:line="276" w:lineRule="auto"/>
        <w:ind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본 자료는 자본시장과 금융투자업에 관한 법률상 증권의 취득 또는 매수에 대한 청약의 권유를 구성하지 않으며, 본 자료의 어떠한 부분도 어떠한 계약, 약정 또는 투자결정의 근거가 되거나 그와 관련하여 </w:t>
      </w:r>
      <w:proofErr w:type="gramStart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신뢰 되어서는</w:t>
      </w:r>
      <w:proofErr w:type="gramEnd"/>
      <w:r w:rsidRPr="00E83B2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안 됩니다.</w:t>
      </w:r>
    </w:p>
    <w:sectPr w:rsidR="00E83B2E" w:rsidRPr="00311ACF" w:rsidSect="00FA30BB">
      <w:footerReference w:type="default" r:id="rId10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D189" w14:textId="77777777" w:rsidR="002B6135" w:rsidRDefault="002B6135" w:rsidP="002912DC">
      <w:r>
        <w:separator/>
      </w:r>
    </w:p>
  </w:endnote>
  <w:endnote w:type="continuationSeparator" w:id="0">
    <w:p w14:paraId="3AC2DB48" w14:textId="77777777" w:rsidR="002B6135" w:rsidRDefault="002B6135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7848D01C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4C7B7A" w:rsidRPr="004C7B7A">
          <w:rPr>
            <w:rFonts w:asciiTheme="minorHAnsi" w:eastAsiaTheme="minorHAnsi" w:hAnsiTheme="minorHAnsi"/>
            <w:noProof/>
            <w:lang w:val="ko-KR"/>
          </w:rPr>
          <w:t>3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290E" w14:textId="77777777" w:rsidR="002B6135" w:rsidRDefault="002B6135" w:rsidP="002912DC">
      <w:r>
        <w:separator/>
      </w:r>
    </w:p>
  </w:footnote>
  <w:footnote w:type="continuationSeparator" w:id="0">
    <w:p w14:paraId="766ED697" w14:textId="77777777" w:rsidR="002B6135" w:rsidRDefault="002B6135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 w16cid:durableId="92749858">
    <w:abstractNumId w:val="2"/>
  </w:num>
  <w:num w:numId="2" w16cid:durableId="877663879">
    <w:abstractNumId w:val="6"/>
  </w:num>
  <w:num w:numId="3" w16cid:durableId="1850019328">
    <w:abstractNumId w:val="11"/>
  </w:num>
  <w:num w:numId="4" w16cid:durableId="443303482">
    <w:abstractNumId w:val="14"/>
  </w:num>
  <w:num w:numId="5" w16cid:durableId="1911690060">
    <w:abstractNumId w:val="6"/>
  </w:num>
  <w:num w:numId="6" w16cid:durableId="510603684">
    <w:abstractNumId w:val="7"/>
  </w:num>
  <w:num w:numId="7" w16cid:durableId="314338883">
    <w:abstractNumId w:val="8"/>
  </w:num>
  <w:num w:numId="8" w16cid:durableId="1766918487">
    <w:abstractNumId w:val="3"/>
  </w:num>
  <w:num w:numId="9" w16cid:durableId="1781029011">
    <w:abstractNumId w:val="9"/>
  </w:num>
  <w:num w:numId="10" w16cid:durableId="2147047060">
    <w:abstractNumId w:val="15"/>
  </w:num>
  <w:num w:numId="11" w16cid:durableId="1515195190">
    <w:abstractNumId w:val="13"/>
  </w:num>
  <w:num w:numId="12" w16cid:durableId="1626540698">
    <w:abstractNumId w:val="10"/>
  </w:num>
  <w:num w:numId="13" w16cid:durableId="1882672796">
    <w:abstractNumId w:val="4"/>
  </w:num>
  <w:num w:numId="14" w16cid:durableId="1107121841">
    <w:abstractNumId w:val="1"/>
  </w:num>
  <w:num w:numId="15" w16cid:durableId="2083529321">
    <w:abstractNumId w:val="5"/>
  </w:num>
  <w:num w:numId="16" w16cid:durableId="1624774330">
    <w:abstractNumId w:val="12"/>
  </w:num>
  <w:num w:numId="17" w16cid:durableId="52012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2179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135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5F5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7F1F"/>
    <w:rsid w:val="004F0E82"/>
    <w:rsid w:val="004F2464"/>
    <w:rsid w:val="004F282A"/>
    <w:rsid w:val="004F437F"/>
    <w:rsid w:val="004F4775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28"/>
    <w:rsid w:val="007D703D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955"/>
    <w:rsid w:val="009D6EA8"/>
    <w:rsid w:val="009D6EE0"/>
    <w:rsid w:val="009D7644"/>
    <w:rsid w:val="009D767C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58D3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C05"/>
    <w:rsid w:val="00AD6CDB"/>
    <w:rsid w:val="00AD6DFF"/>
    <w:rsid w:val="00AD7245"/>
    <w:rsid w:val="00AD75F4"/>
    <w:rsid w:val="00AD7768"/>
    <w:rsid w:val="00AD7A0E"/>
    <w:rsid w:val="00AD7CDA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5A08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EB"/>
    <w:rsid w:val="00DE1712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B2E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49484-0FF0-4577-9A1A-1203397E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470</Words>
  <Characters>2680</Characters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2024-07-23T02:00:00Z</cp:lastPrinted>
  <dcterms:created xsi:type="dcterms:W3CDTF">2025-10-28T21:19:00Z</dcterms:created>
  <dcterms:modified xsi:type="dcterms:W3CDTF">2026-04-22T10:01:00Z</dcterms:modified>
</cp:coreProperties>
</file>